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DCA2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BB1BA8" wp14:editId="1D20CE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3521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PA Header Sept 17 - L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21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E1995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25082932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45212241" w14:textId="77777777" w:rsidR="00C65A80" w:rsidRPr="00957B28" w:rsidRDefault="00C65A80" w:rsidP="00C65A80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Anti-Bullying Policy</w:t>
      </w:r>
    </w:p>
    <w:p w14:paraId="232BEF35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678484B1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This policy should be rea</w:t>
      </w:r>
      <w:r>
        <w:rPr>
          <w:rFonts w:asciiTheme="minorHAnsi" w:hAnsiTheme="minorHAnsi" w:cstheme="minorHAnsi"/>
        </w:rPr>
        <w:t>d</w:t>
      </w:r>
      <w:r w:rsidRPr="00C87FF7">
        <w:rPr>
          <w:rFonts w:asciiTheme="minorHAnsi" w:hAnsiTheme="minorHAnsi" w:cstheme="minorHAnsi"/>
        </w:rPr>
        <w:t xml:space="preserve"> in conjunction with the Academy’s behaviour policy.</w:t>
      </w:r>
    </w:p>
    <w:p w14:paraId="61E35C3B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6A562CC8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0700DD56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4737D634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Context</w:t>
      </w:r>
    </w:p>
    <w:p w14:paraId="442157F1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i/>
        </w:rPr>
      </w:pPr>
      <w:r w:rsidRPr="00C87FF7">
        <w:rPr>
          <w:rFonts w:asciiTheme="minorHAnsi" w:hAnsiTheme="minorHAnsi" w:cstheme="minorHAnsi"/>
        </w:rPr>
        <w:t>The aim of the Academy is to have an outstanding educational provision which delivers excellence in teaching, learning, relationships and opportunities, through high quality teaching and a safe, supportive and welcoming school environment.</w:t>
      </w:r>
    </w:p>
    <w:p w14:paraId="4E37843A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Staff and pupils should expect to work and learn in a supportive and caring environment without fear of bullying.</w:t>
      </w:r>
    </w:p>
    <w:p w14:paraId="42D89071" w14:textId="77777777" w:rsidR="00C65A80" w:rsidRDefault="00C65A80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r w:rsidRPr="00C87FF7">
        <w:rPr>
          <w:rFonts w:asciiTheme="minorHAnsi" w:hAnsiTheme="minorHAnsi" w:cstheme="minorHAnsi"/>
        </w:rPr>
        <w:t xml:space="preserve">Bullying is antisocial behaviour and affects everyone.  </w:t>
      </w:r>
      <w:r w:rsidRPr="00C87FF7">
        <w:rPr>
          <w:rFonts w:asciiTheme="minorHAnsi" w:hAnsiTheme="minorHAnsi" w:cstheme="minorHAnsi"/>
          <w:color w:val="333333"/>
          <w:lang w:eastAsia="en-GB"/>
        </w:rPr>
        <w:t>Green Lane</w:t>
      </w:r>
      <w:r w:rsidRPr="00122F00">
        <w:rPr>
          <w:rFonts w:asciiTheme="minorHAnsi" w:hAnsiTheme="minorHAnsi" w:cstheme="minorHAnsi"/>
          <w:color w:val="333333"/>
          <w:lang w:eastAsia="en-GB"/>
        </w:rPr>
        <w:t xml:space="preserve"> Primary Academy does not accept or tolerate bullying and we are committed to supporting our pupils to tackle this issue.</w:t>
      </w:r>
    </w:p>
    <w:p w14:paraId="092A240F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r w:rsidRPr="00C87FF7">
        <w:rPr>
          <w:rFonts w:asciiTheme="minorHAnsi" w:hAnsiTheme="minorHAnsi" w:cstheme="minorHAnsi"/>
        </w:rPr>
        <w:t>Despite our culture of zero tolerance towards this issue, there may be some instances of students attempting to bully each other within the Academy.</w:t>
      </w:r>
      <w:r>
        <w:rPr>
          <w:rFonts w:asciiTheme="minorHAnsi" w:hAnsiTheme="minorHAnsi" w:cstheme="minorHAnsi"/>
        </w:rPr>
        <w:t xml:space="preserve"> We recognise that sometimes issues that originate outside of school affect children in school.</w:t>
      </w:r>
      <w:r w:rsidRPr="00C87FF7">
        <w:rPr>
          <w:rFonts w:asciiTheme="minorHAnsi" w:hAnsiTheme="minorHAnsi" w:cstheme="minorHAnsi"/>
        </w:rPr>
        <w:t xml:space="preserve"> Therefore, we aim to deal with any bullying complaints firmly, fairly and promptly.</w:t>
      </w:r>
    </w:p>
    <w:p w14:paraId="30B6013B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We treat bullying as a serious offence and take every possible action to keep it to a minimum.</w:t>
      </w:r>
    </w:p>
    <w:p w14:paraId="515A0D99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06C88645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Our Aims</w:t>
      </w:r>
    </w:p>
    <w:p w14:paraId="55D3B6D1" w14:textId="77777777" w:rsidR="00C65A80" w:rsidRPr="00C87FF7" w:rsidRDefault="00C65A80" w:rsidP="00C65A8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To create an environment where bullying is not tolerated.</w:t>
      </w:r>
    </w:p>
    <w:p w14:paraId="36196125" w14:textId="77777777" w:rsidR="00C65A80" w:rsidRPr="00C87FF7" w:rsidRDefault="00C65A80" w:rsidP="00C65A8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To ensure that all pupils are aware of their rights and responsibilities and know how to seek help if those rights are being violated.</w:t>
      </w:r>
    </w:p>
    <w:p w14:paraId="06B08D87" w14:textId="77777777" w:rsidR="00C65A80" w:rsidRPr="00C87FF7" w:rsidRDefault="00C65A80" w:rsidP="00C65A8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To encourage pupils to work well, develop good relationships and offer each other mutual support and respect.</w:t>
      </w:r>
    </w:p>
    <w:p w14:paraId="3E3239A7" w14:textId="77777777" w:rsidR="00C65A80" w:rsidRPr="00C87FF7" w:rsidRDefault="00C65A80" w:rsidP="00C65A8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To encourage pupils to behave in a respectful and positive way to one another.</w:t>
      </w:r>
    </w:p>
    <w:p w14:paraId="27DA8BB1" w14:textId="77777777" w:rsidR="00C65A80" w:rsidRDefault="00C65A80" w:rsidP="00C65A8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To raise awareness and equip pupils to deal with bullies through PSHE programmes, assemblies, pastoral team members and peer supporters. </w:t>
      </w:r>
    </w:p>
    <w:p w14:paraId="062DDED8" w14:textId="77777777" w:rsidR="00C65A80" w:rsidRPr="00C87FF7" w:rsidRDefault="00C65A80" w:rsidP="00C65A80">
      <w:pPr>
        <w:pStyle w:val="NoSpacing"/>
        <w:ind w:left="720"/>
        <w:rPr>
          <w:rFonts w:asciiTheme="minorHAnsi" w:hAnsiTheme="minorHAnsi" w:cstheme="minorHAnsi"/>
        </w:rPr>
      </w:pPr>
    </w:p>
    <w:p w14:paraId="28CABA45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Our Definitions</w:t>
      </w:r>
    </w:p>
    <w:p w14:paraId="0458AC95" w14:textId="77777777" w:rsidR="00C65A80" w:rsidRDefault="00C65A80" w:rsidP="00C65A80">
      <w:pPr>
        <w:pStyle w:val="NoSpacing"/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There is no legal definition of bullying.</w:t>
      </w:r>
    </w:p>
    <w:p w14:paraId="58E1767E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u w:val="single"/>
        </w:rPr>
      </w:pPr>
    </w:p>
    <w:p w14:paraId="5C8B999C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However, it’s usual</w:t>
      </w:r>
      <w:r>
        <w:rPr>
          <w:rFonts w:asciiTheme="minorHAnsi" w:hAnsiTheme="minorHAnsi" w:cstheme="minorHAnsi"/>
          <w:lang w:val="en"/>
        </w:rPr>
        <w:t xml:space="preserve">ly defined as </w:t>
      </w:r>
      <w:proofErr w:type="spellStart"/>
      <w:r>
        <w:rPr>
          <w:rFonts w:asciiTheme="minorHAnsi" w:hAnsiTheme="minorHAnsi" w:cstheme="minorHAnsi"/>
          <w:lang w:val="en"/>
        </w:rPr>
        <w:t>behaviour</w:t>
      </w:r>
      <w:proofErr w:type="spellEnd"/>
      <w:r>
        <w:rPr>
          <w:rFonts w:asciiTheme="minorHAnsi" w:hAnsiTheme="minorHAnsi" w:cstheme="minorHAnsi"/>
          <w:lang w:val="en"/>
        </w:rPr>
        <w:t xml:space="preserve"> that is r</w:t>
      </w:r>
      <w:r w:rsidRPr="00C87FF7">
        <w:rPr>
          <w:rFonts w:asciiTheme="minorHAnsi" w:hAnsiTheme="minorHAnsi" w:cstheme="minorHAnsi"/>
          <w:lang w:val="en"/>
        </w:rPr>
        <w:t>epeated</w:t>
      </w:r>
      <w:r>
        <w:rPr>
          <w:rFonts w:asciiTheme="minorHAnsi" w:hAnsiTheme="minorHAnsi" w:cstheme="minorHAnsi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lang w:val="en"/>
        </w:rPr>
        <w:t>and..</w:t>
      </w:r>
      <w:proofErr w:type="gramEnd"/>
    </w:p>
    <w:p w14:paraId="7290EDB4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intended to hurt someone either physically or emotionally</w:t>
      </w:r>
    </w:p>
    <w:p w14:paraId="3CFC1225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often aimed at certain groups, for example because of race, religion, gender or sexual orientation</w:t>
      </w:r>
    </w:p>
    <w:p w14:paraId="2D50E3BE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It takes many forms and can include:</w:t>
      </w:r>
    </w:p>
    <w:p w14:paraId="133DC2BF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physical assault</w:t>
      </w:r>
    </w:p>
    <w:p w14:paraId="4364E13E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teasing</w:t>
      </w:r>
    </w:p>
    <w:p w14:paraId="1021E8C9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making threats</w:t>
      </w:r>
    </w:p>
    <w:p w14:paraId="7FEC11A6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lang w:val="en"/>
        </w:rPr>
      </w:pPr>
      <w:r w:rsidRPr="00C87FF7">
        <w:rPr>
          <w:rFonts w:asciiTheme="minorHAnsi" w:hAnsiTheme="minorHAnsi" w:cstheme="minorHAnsi"/>
          <w:lang w:val="en"/>
        </w:rPr>
        <w:t>name calling</w:t>
      </w:r>
    </w:p>
    <w:p w14:paraId="1E6E1B12" w14:textId="77777777" w:rsidR="00C65A80" w:rsidRPr="00C87FF7" w:rsidRDefault="00C65A80" w:rsidP="00C65A8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  <w:lang w:val="en"/>
        </w:rPr>
        <w:t xml:space="preserve">cyberbullying - </w:t>
      </w:r>
    </w:p>
    <w:p w14:paraId="01114E7F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0FFD0028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Bullying can be:</w:t>
      </w:r>
    </w:p>
    <w:p w14:paraId="77FBC3D7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Physical – pushing, kicking, hitting, pinching, any form of violence, threats.</w:t>
      </w:r>
    </w:p>
    <w:p w14:paraId="1094F520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Verbal – name calling, sarcasm, spreading rumours, persistent teasing.</w:t>
      </w:r>
    </w:p>
    <w:p w14:paraId="3D8C789C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Emotional – tormenting, threatening ridicule, humiliation, exclusion from groups or activities.</w:t>
      </w:r>
    </w:p>
    <w:p w14:paraId="50FBC40D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Racist – racial abuse, graffiti, gestures.</w:t>
      </w:r>
    </w:p>
    <w:p w14:paraId="659CF638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Sexual – unwanted physical contact, abusive comments.</w:t>
      </w:r>
    </w:p>
    <w:p w14:paraId="519EB7D5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Damage to property or theft - demanding possessions, money, deliberately damaging belongings.</w:t>
      </w:r>
    </w:p>
    <w:p w14:paraId="50FF3906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Homophobic – taunts, graffiti, gestures relating to the sexual orientation of a person</w:t>
      </w:r>
    </w:p>
    <w:p w14:paraId="6A3B826E" w14:textId="77777777" w:rsidR="00C65A80" w:rsidRPr="00C87FF7" w:rsidRDefault="00C65A80" w:rsidP="00C65A80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Cyber – </w:t>
      </w:r>
      <w:r w:rsidRPr="00C87FF7">
        <w:rPr>
          <w:rFonts w:asciiTheme="minorHAnsi" w:hAnsiTheme="minorHAnsi" w:cstheme="minorHAnsi"/>
          <w:lang w:val="en"/>
        </w:rPr>
        <w:t>bullying via mobile phone or online (for example email, social networks and instant messenger)</w:t>
      </w:r>
      <w:r w:rsidRPr="00C87FF7">
        <w:rPr>
          <w:rFonts w:asciiTheme="minorHAnsi" w:hAnsiTheme="minorHAnsi" w:cstheme="minorHAnsi"/>
        </w:rPr>
        <w:t>. writing abusive or negative things about people on line.</w:t>
      </w:r>
    </w:p>
    <w:p w14:paraId="08079B58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26DF293B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Signs of being bullied</w:t>
      </w:r>
    </w:p>
    <w:p w14:paraId="5A3D80FE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Unwillingness to come to school.</w:t>
      </w:r>
    </w:p>
    <w:p w14:paraId="048A71D6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Withdrawn, isolated behaviour.</w:t>
      </w:r>
    </w:p>
    <w:p w14:paraId="4E3DBEE3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Complaining about missing possessions.</w:t>
      </w:r>
    </w:p>
    <w:p w14:paraId="31D0E162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Refusal to talk about problems.</w:t>
      </w:r>
    </w:p>
    <w:p w14:paraId="35633B0D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Being easily distressed.</w:t>
      </w:r>
    </w:p>
    <w:p w14:paraId="3ADD4261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Damaged or incomplete work.</w:t>
      </w:r>
    </w:p>
    <w:p w14:paraId="55486937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Regularly feeling ill.</w:t>
      </w:r>
    </w:p>
    <w:p w14:paraId="55F944FC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Work not completed to usual standard.</w:t>
      </w:r>
    </w:p>
    <w:p w14:paraId="56D867DD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Setting off for school particularly early or late.</w:t>
      </w:r>
    </w:p>
    <w:p w14:paraId="47156DD7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Tearfulness, depression.</w:t>
      </w:r>
    </w:p>
    <w:p w14:paraId="1C23A1CE" w14:textId="77777777" w:rsidR="00C65A80" w:rsidRPr="00C87FF7" w:rsidRDefault="00C65A80" w:rsidP="00C65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Change in pupil behaviour or confidence</w:t>
      </w:r>
    </w:p>
    <w:p w14:paraId="1E03275E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7A09F838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What to do as a pupil</w:t>
      </w:r>
    </w:p>
    <w:p w14:paraId="6B846996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Tell yourself that you do not deserve to be bullied and it is wrong.</w:t>
      </w:r>
    </w:p>
    <w:p w14:paraId="51D39966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Walk away and report the bullying to an adult at home or at school supporter straight away.</w:t>
      </w:r>
    </w:p>
    <w:p w14:paraId="3DB0CC46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Stay with a group of friends, there is safety in numbers.</w:t>
      </w:r>
    </w:p>
    <w:p w14:paraId="42997AB0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Be assertive – make it clear that you want the bullying to stop.  </w:t>
      </w:r>
    </w:p>
    <w:p w14:paraId="150482F0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Be proud of who you are and what you stand for.</w:t>
      </w:r>
    </w:p>
    <w:p w14:paraId="691FF239" w14:textId="77777777" w:rsidR="00C65A80" w:rsidRPr="00C87FF7" w:rsidRDefault="00C65A80" w:rsidP="00C65A8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If you know that someone else is being bullied – take action – tell an adult.  </w:t>
      </w:r>
    </w:p>
    <w:p w14:paraId="099C6806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i/>
          <w:u w:val="single"/>
        </w:rPr>
      </w:pPr>
    </w:p>
    <w:p w14:paraId="504F768F" w14:textId="77777777" w:rsidR="00C65A80" w:rsidRDefault="00C65A80" w:rsidP="00C65A80">
      <w:pPr>
        <w:pStyle w:val="NoSpacing"/>
        <w:rPr>
          <w:rFonts w:asciiTheme="minorHAnsi" w:hAnsiTheme="minorHAnsi" w:cstheme="minorHAnsi"/>
        </w:rPr>
      </w:pPr>
    </w:p>
    <w:p w14:paraId="138437A0" w14:textId="77777777" w:rsidR="00C65A80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256A946" w14:textId="77777777" w:rsidR="00C65A80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1A8CC74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What to do as a parent/carer</w:t>
      </w:r>
    </w:p>
    <w:p w14:paraId="23B858CE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Be aware of signs of bullying in your child.</w:t>
      </w:r>
    </w:p>
    <w:p w14:paraId="7233A86E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Talk to your child about their school day.</w:t>
      </w:r>
    </w:p>
    <w:p w14:paraId="42D17CBF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If you feel that your child may be a victim of bullying inform the Academy immediately.  </w:t>
      </w:r>
    </w:p>
    <w:p w14:paraId="79AB7DBB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Reassure your child that there is nothing wrong with him or her and it is not his or her fault that they are being bullied.</w:t>
      </w:r>
    </w:p>
    <w:p w14:paraId="430360AD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Make sure that your child is not afraid to ask for help at the Academy.</w:t>
      </w:r>
    </w:p>
    <w:p w14:paraId="73A09C7E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  <w:color w:val="333333"/>
          <w:lang w:eastAsia="en-GB"/>
        </w:rPr>
      </w:pPr>
      <w:r w:rsidRPr="00C87FF7">
        <w:rPr>
          <w:rFonts w:asciiTheme="minorHAnsi" w:hAnsiTheme="minorHAnsi" w:cstheme="minorHAnsi"/>
          <w:color w:val="333333"/>
          <w:lang w:eastAsia="en-GB"/>
        </w:rPr>
        <w:t>E-Safety is an important part of keeping children safe. Security measures are put into place in school to help safeguard our pupils from potential dangers or unsuitable material.</w:t>
      </w:r>
    </w:p>
    <w:p w14:paraId="73A09132" w14:textId="77777777" w:rsidR="00C65A80" w:rsidRPr="00C87FF7" w:rsidRDefault="00C65A80" w:rsidP="00C65A80">
      <w:pPr>
        <w:pStyle w:val="NoSpacing"/>
        <w:numPr>
          <w:ilvl w:val="0"/>
          <w:numId w:val="6"/>
        </w:numPr>
        <w:rPr>
          <w:rFonts w:asciiTheme="minorHAnsi" w:hAnsiTheme="minorHAnsi" w:cstheme="minorHAnsi"/>
          <w:color w:val="333333"/>
          <w:lang w:eastAsia="en-GB"/>
        </w:rPr>
      </w:pPr>
      <w:r w:rsidRPr="00C87FF7">
        <w:rPr>
          <w:rFonts w:asciiTheme="minorHAnsi" w:hAnsiTheme="minorHAnsi" w:cstheme="minorHAnsi"/>
          <w:color w:val="333333"/>
          <w:lang w:eastAsia="en-GB"/>
        </w:rPr>
        <w:t>We can only be successful in keeping children safe online if we work with parents and carers to ensure the e-Safety message is consistent. Your help is needed to talk to your children about how they can keep safe and behave appropriately online.</w:t>
      </w:r>
    </w:p>
    <w:p w14:paraId="71EF1C14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bCs/>
          <w:color w:val="333333"/>
          <w:u w:val="single"/>
          <w:lang w:eastAsia="en-GB"/>
        </w:rPr>
      </w:pPr>
    </w:p>
    <w:p w14:paraId="7D152146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bCs/>
          <w:color w:val="333333"/>
          <w:u w:val="single"/>
          <w:lang w:eastAsia="en-GB"/>
        </w:rPr>
      </w:pPr>
    </w:p>
    <w:p w14:paraId="2EAA7DEE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r w:rsidRPr="00C87FF7">
        <w:rPr>
          <w:rFonts w:asciiTheme="minorHAnsi" w:hAnsiTheme="minorHAnsi" w:cstheme="minorHAnsi"/>
          <w:bCs/>
          <w:color w:val="333333"/>
          <w:u w:val="single"/>
          <w:lang w:eastAsia="en-GB"/>
        </w:rPr>
        <w:t>Useful links for parents/carers</w:t>
      </w:r>
    </w:p>
    <w:p w14:paraId="5DADE4E8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6" w:tgtFrame="_blank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http://www.thinkuknow.co.uk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A website designed and written specifically for children, young people, teachers, parents and carers.</w:t>
      </w:r>
    </w:p>
    <w:p w14:paraId="73338320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7" w:tgtFrame="_blank" w:tooltip="Get Safe Online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http://www.getsafeonline.org/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A beginners guide to using the Internet safety, including a quiz and some video tutorials about how to ‘stay safe’ on-line.</w:t>
      </w:r>
    </w:p>
    <w:p w14:paraId="1A3A6394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8" w:tgtFrame="_blank" w:tooltip="Kid Smart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http://www.kidsmart.org.uk/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Excellent information on many of the technologies used by children, with guidance on how to ‘stay safe’ online.</w:t>
      </w:r>
    </w:p>
    <w:p w14:paraId="4D0AEF78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9" w:tgtFrame="_blank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http://consumers.ofcom.org.uk/2011/10/advice-for-parents/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Ofcom online safety video and guide for parents/carers</w:t>
      </w:r>
    </w:p>
    <w:p w14:paraId="3791AC1B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10" w:tgtFrame="_blank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http://www.bullying.co.uk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One in five young people have experienced bullying by text message or via email. This web site gives advice for children and parents on bullying</w:t>
      </w:r>
    </w:p>
    <w:p w14:paraId="6A8455A8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11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http://www.chatdanger.com/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Website about the potential dangers with interactive services online like chat, IM, online games, email and on mobiles. It provides information, advice, true stories and games.</w:t>
      </w:r>
    </w:p>
    <w:p w14:paraId="71D703AA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12" w:tgtFrame="_blank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http://www.internetmatters.org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Lots of guidance and articles for parents about keeping their children safe online.</w:t>
      </w:r>
    </w:p>
    <w:p w14:paraId="60B497B4" w14:textId="77777777" w:rsidR="00C65A80" w:rsidRPr="00C87FF7" w:rsidRDefault="00250B16" w:rsidP="00C65A80">
      <w:pPr>
        <w:pStyle w:val="NoSpacing"/>
        <w:rPr>
          <w:rFonts w:asciiTheme="minorHAnsi" w:hAnsiTheme="minorHAnsi" w:cstheme="minorHAnsi"/>
          <w:color w:val="333333"/>
          <w:lang w:eastAsia="en-GB"/>
        </w:rPr>
      </w:pPr>
      <w:hyperlink r:id="rId13" w:tgtFrame="_blank" w:history="1">
        <w:r w:rsidR="00C65A80" w:rsidRPr="00C87FF7">
          <w:rPr>
            <w:rFonts w:asciiTheme="minorHAnsi" w:hAnsiTheme="minorHAnsi" w:cstheme="minorHAnsi"/>
            <w:color w:val="20549F"/>
            <w:lang w:eastAsia="en-GB"/>
          </w:rPr>
          <w:t>http://www.beatbullying.org</w:t>
        </w:r>
      </w:hyperlink>
      <w:r w:rsidR="00C65A80" w:rsidRPr="00C87FF7">
        <w:rPr>
          <w:rFonts w:asciiTheme="minorHAnsi" w:hAnsiTheme="minorHAnsi" w:cstheme="minorHAnsi"/>
          <w:color w:val="333333"/>
          <w:lang w:eastAsia="en-GB"/>
        </w:rPr>
        <w:t xml:space="preserve"> Advice for parents and young people about bullying, both online and off.</w:t>
      </w:r>
    </w:p>
    <w:p w14:paraId="0B2CB37A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4CEE160D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64D0DC8B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What the Academy will do</w:t>
      </w:r>
    </w:p>
    <w:p w14:paraId="3BA9A8F2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Take all bullying problems seriously.</w:t>
      </w:r>
    </w:p>
    <w:p w14:paraId="76C32DB1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Investigate incidents as thoroughly and promptly as possible.</w:t>
      </w:r>
    </w:p>
    <w:p w14:paraId="38BCE114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Ensure that bullies and victims, in the first instance, are interviewed separately.</w:t>
      </w:r>
    </w:p>
    <w:p w14:paraId="411386D2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Wherever possible obtain information from witnesses.</w:t>
      </w:r>
    </w:p>
    <w:p w14:paraId="2527F5DD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Keep records of reported incidents on the internal school system – </w:t>
      </w:r>
      <w:proofErr w:type="spellStart"/>
      <w:r w:rsidRPr="00C87FF7">
        <w:rPr>
          <w:rFonts w:asciiTheme="minorHAnsi" w:hAnsiTheme="minorHAnsi" w:cstheme="minorHAnsi"/>
        </w:rPr>
        <w:t>Cpoms</w:t>
      </w:r>
      <w:proofErr w:type="spellEnd"/>
      <w:r w:rsidRPr="00C87FF7">
        <w:rPr>
          <w:rFonts w:asciiTheme="minorHAnsi" w:hAnsiTheme="minorHAnsi" w:cstheme="minorHAnsi"/>
        </w:rPr>
        <w:t>.</w:t>
      </w:r>
    </w:p>
    <w:p w14:paraId="090FF562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Encourage the bully and the bullied to agree a resolution.</w:t>
      </w:r>
    </w:p>
    <w:p w14:paraId="444558C3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lastRenderedPageBreak/>
        <w:t xml:space="preserve">Impose appropriate consequences. </w:t>
      </w:r>
    </w:p>
    <w:p w14:paraId="336B1877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Inform parents/carers of bullies and bullied of serious incidents.</w:t>
      </w:r>
    </w:p>
    <w:p w14:paraId="2E966F17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Provide a clear strategy for managing future incidents.</w:t>
      </w:r>
    </w:p>
    <w:p w14:paraId="5C30815F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Provide peer supporters and access to adult support, as appropriate.</w:t>
      </w:r>
    </w:p>
    <w:p w14:paraId="4BE0064F" w14:textId="77777777" w:rsidR="00C65A80" w:rsidRPr="00C87FF7" w:rsidRDefault="00C65A80" w:rsidP="00C65A80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Promote a zero tolerance of this issue within the student and staff body.</w:t>
      </w:r>
    </w:p>
    <w:p w14:paraId="6C5ED4A5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0D10B6E1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Academy activities which tackle bullying</w:t>
      </w:r>
    </w:p>
    <w:p w14:paraId="55448FCF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Assemblies</w:t>
      </w:r>
    </w:p>
    <w:p w14:paraId="424DC946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Class group activities</w:t>
      </w:r>
    </w:p>
    <w:p w14:paraId="3D2F4A70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PSHCE  programmes</w:t>
      </w:r>
    </w:p>
    <w:p w14:paraId="5A477384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Displays</w:t>
      </w:r>
    </w:p>
    <w:p w14:paraId="02277E13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Academy council discussions</w:t>
      </w:r>
    </w:p>
    <w:p w14:paraId="401C60B1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Pupil and parent support worker.</w:t>
      </w:r>
    </w:p>
    <w:p w14:paraId="1BB62C37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Liaison with external agencies and Garforth Extended Services.</w:t>
      </w:r>
    </w:p>
    <w:p w14:paraId="36CAF028" w14:textId="77777777" w:rsidR="00C65A80" w:rsidRPr="00C87FF7" w:rsidRDefault="00C65A80" w:rsidP="00C65A80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for the national Anti- Bullying week</w:t>
      </w:r>
    </w:p>
    <w:p w14:paraId="226BEE86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</w:p>
    <w:p w14:paraId="21AA42CE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  <w:b/>
          <w:u w:val="single"/>
        </w:rPr>
      </w:pPr>
      <w:r w:rsidRPr="00957B28">
        <w:rPr>
          <w:rFonts w:asciiTheme="minorHAnsi" w:hAnsiTheme="minorHAnsi" w:cstheme="minorHAnsi"/>
          <w:b/>
          <w:u w:val="single"/>
        </w:rPr>
        <w:t>Monitoring and Evaluation</w:t>
      </w:r>
    </w:p>
    <w:p w14:paraId="1BD18E30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This policy is monitored and evaluated through regular inclusion reviews, pupil voice and school council and through consultation with the Governing Body and parents. </w:t>
      </w:r>
    </w:p>
    <w:p w14:paraId="51488780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 xml:space="preserve">The following performance indicators are used to evaluate the policy within the context of the pastoral support </w:t>
      </w:r>
      <w:r>
        <w:rPr>
          <w:rFonts w:asciiTheme="minorHAnsi" w:hAnsiTheme="minorHAnsi" w:cstheme="minorHAnsi"/>
        </w:rPr>
        <w:t>given to all students and staff:</w:t>
      </w:r>
    </w:p>
    <w:p w14:paraId="66831EF3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Behaviour on the Academy site</w:t>
      </w:r>
    </w:p>
    <w:p w14:paraId="4F474E3B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Levels of punctuality and attendance</w:t>
      </w:r>
    </w:p>
    <w:p w14:paraId="7D91143B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Evidence of self-discipline</w:t>
      </w:r>
    </w:p>
    <w:p w14:paraId="41C223BA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Good manners and consideration for others</w:t>
      </w:r>
    </w:p>
    <w:p w14:paraId="4FE17FFE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Levels of exclusion</w:t>
      </w:r>
    </w:p>
    <w:p w14:paraId="18F822EB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Police referrals</w:t>
      </w:r>
    </w:p>
    <w:p w14:paraId="02605D94" w14:textId="77777777" w:rsidR="00C65A80" w:rsidRPr="00C87FF7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Referrals through the pastoral support programme for agency involvement</w:t>
      </w:r>
    </w:p>
    <w:p w14:paraId="45F29FD4" w14:textId="77777777" w:rsidR="00C65A80" w:rsidRDefault="00C65A80" w:rsidP="00C65A8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Feedback from student council and parental questionnaires</w:t>
      </w:r>
    </w:p>
    <w:p w14:paraId="07EA502D" w14:textId="77777777" w:rsidR="00C65A80" w:rsidRDefault="00C65A80" w:rsidP="00C65A80">
      <w:pPr>
        <w:pStyle w:val="NoSpacing"/>
        <w:rPr>
          <w:rFonts w:asciiTheme="minorHAnsi" w:hAnsiTheme="minorHAnsi" w:cstheme="minorHAnsi"/>
        </w:rPr>
      </w:pPr>
    </w:p>
    <w:p w14:paraId="431295C1" w14:textId="77777777" w:rsidR="00C65A80" w:rsidRPr="00957B28" w:rsidRDefault="00C65A80" w:rsidP="00C65A80">
      <w:pPr>
        <w:pStyle w:val="NoSpacing"/>
        <w:rPr>
          <w:rFonts w:asciiTheme="minorHAnsi" w:hAnsiTheme="minorHAnsi" w:cstheme="minorHAnsi"/>
        </w:rPr>
      </w:pPr>
    </w:p>
    <w:p w14:paraId="3B07EAED" w14:textId="4E8D7EDF" w:rsidR="00C65A80" w:rsidRDefault="00250B16" w:rsidP="00C65A8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</w:t>
      </w:r>
      <w:r w:rsidR="00C65A80">
        <w:rPr>
          <w:rFonts w:asciiTheme="minorHAnsi" w:hAnsiTheme="minorHAnsi" w:cstheme="minorHAnsi"/>
        </w:rPr>
        <w:t xml:space="preserve"> Lucy Carlisle  </w:t>
      </w:r>
    </w:p>
    <w:p w14:paraId="39CC4975" w14:textId="432EB5FB" w:rsidR="00C65A80" w:rsidRPr="00673A19" w:rsidRDefault="00250B16" w:rsidP="00C65A80">
      <w:pPr>
        <w:pStyle w:val="NoSpacing"/>
      </w:pPr>
      <w:r>
        <w:t>Steve Baker</w:t>
      </w:r>
    </w:p>
    <w:p w14:paraId="6D2AF2A8" w14:textId="77777777" w:rsidR="00C65A80" w:rsidRDefault="00C65A80" w:rsidP="00C65A80">
      <w:pPr>
        <w:pStyle w:val="NoSpacing"/>
      </w:pPr>
      <w:r>
        <w:t>Chair of the Education Advisory Board</w:t>
      </w:r>
    </w:p>
    <w:p w14:paraId="23ABF91D" w14:textId="77777777" w:rsidR="00C65A80" w:rsidRDefault="00C65A80" w:rsidP="00C65A80">
      <w:pPr>
        <w:pStyle w:val="NoSpacing"/>
      </w:pPr>
      <w:r>
        <w:t xml:space="preserve">Green Lane Primary Academy </w:t>
      </w:r>
    </w:p>
    <w:p w14:paraId="17809E89" w14:textId="77777777" w:rsidR="00C65A80" w:rsidRDefault="00C65A80" w:rsidP="00C65A80">
      <w:pPr>
        <w:pStyle w:val="NoSpacing"/>
        <w:rPr>
          <w:noProof/>
          <w:lang w:eastAsia="en-GB"/>
        </w:rPr>
      </w:pPr>
    </w:p>
    <w:p w14:paraId="3C4EAECF" w14:textId="77777777" w:rsidR="00C65A80" w:rsidRDefault="00C65A80" w:rsidP="00C65A80">
      <w:pPr>
        <w:pStyle w:val="NoSpacing"/>
        <w:rPr>
          <w:noProof/>
          <w:lang w:eastAsia="en-GB"/>
        </w:rPr>
      </w:pPr>
    </w:p>
    <w:p w14:paraId="31950827" w14:textId="77777777" w:rsidR="00C65A80" w:rsidRDefault="00C65A80" w:rsidP="00C65A80">
      <w:pPr>
        <w:pStyle w:val="NoSpacing"/>
        <w:rPr>
          <w:noProof/>
          <w:lang w:eastAsia="en-GB"/>
        </w:rPr>
      </w:pPr>
    </w:p>
    <w:p w14:paraId="3D66888D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This policy was formally adopted by Green Lane Primary Academy on:  1</w:t>
      </w:r>
      <w:r w:rsidRPr="00C87FF7">
        <w:rPr>
          <w:rFonts w:asciiTheme="minorHAnsi" w:hAnsiTheme="minorHAnsi" w:cstheme="minorHAnsi"/>
          <w:vertAlign w:val="superscript"/>
        </w:rPr>
        <w:t>st</w:t>
      </w:r>
      <w:r w:rsidRPr="00C87FF7">
        <w:rPr>
          <w:rFonts w:asciiTheme="minorHAnsi" w:hAnsiTheme="minorHAnsi" w:cstheme="minorHAnsi"/>
        </w:rPr>
        <w:t xml:space="preserve"> March 2016</w:t>
      </w:r>
    </w:p>
    <w:p w14:paraId="21914E89" w14:textId="77777777" w:rsidR="00C65A80" w:rsidRPr="00C87FF7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The policy was reviewed and amended Nov 2017</w:t>
      </w:r>
    </w:p>
    <w:p w14:paraId="5E7E91EB" w14:textId="77777777" w:rsidR="00C65A80" w:rsidRDefault="00C65A80" w:rsidP="00C65A80">
      <w:pPr>
        <w:pStyle w:val="NoSpacing"/>
        <w:rPr>
          <w:rFonts w:asciiTheme="minorHAnsi" w:hAnsiTheme="minorHAnsi" w:cstheme="minorHAnsi"/>
        </w:rPr>
      </w:pPr>
      <w:r w:rsidRPr="00C87FF7">
        <w:rPr>
          <w:rFonts w:asciiTheme="minorHAnsi" w:hAnsiTheme="minorHAnsi" w:cstheme="minorHAnsi"/>
        </w:rPr>
        <w:t>To be reviewed Sept 2018</w:t>
      </w:r>
      <w:r>
        <w:rPr>
          <w:rFonts w:asciiTheme="minorHAnsi" w:hAnsiTheme="minorHAnsi" w:cstheme="minorHAnsi"/>
        </w:rPr>
        <w:t xml:space="preserve"> </w:t>
      </w:r>
      <w:r w:rsidR="0076665C">
        <w:rPr>
          <w:rFonts w:asciiTheme="minorHAnsi" w:hAnsiTheme="minorHAnsi" w:cstheme="minorHAnsi"/>
        </w:rPr>
        <w:t>, ratified by AAB Nov 2018</w:t>
      </w:r>
    </w:p>
    <w:p w14:paraId="38B0CE65" w14:textId="1C5FBF90" w:rsidR="00C65A80" w:rsidRPr="00C87FF7" w:rsidRDefault="00833352" w:rsidP="00C65A8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April 2020, </w:t>
      </w:r>
      <w:r w:rsidR="00250B16">
        <w:rPr>
          <w:rFonts w:asciiTheme="minorHAnsi" w:hAnsiTheme="minorHAnsi" w:cstheme="minorHAnsi"/>
        </w:rPr>
        <w:t>Reviewed Sept 2021</w:t>
      </w:r>
    </w:p>
    <w:p w14:paraId="71EAD35A" w14:textId="2044B761" w:rsidR="00C43D0B" w:rsidRDefault="00250B16"/>
    <w:sectPr w:rsidR="00C4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4CEB"/>
    <w:multiLevelType w:val="hybridMultilevel"/>
    <w:tmpl w:val="2EA8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1715"/>
    <w:multiLevelType w:val="hybridMultilevel"/>
    <w:tmpl w:val="65C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7AB0"/>
    <w:multiLevelType w:val="hybridMultilevel"/>
    <w:tmpl w:val="FE80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3F25"/>
    <w:multiLevelType w:val="hybridMultilevel"/>
    <w:tmpl w:val="545C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49FD"/>
    <w:multiLevelType w:val="hybridMultilevel"/>
    <w:tmpl w:val="7CEA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13A1"/>
    <w:multiLevelType w:val="hybridMultilevel"/>
    <w:tmpl w:val="5E0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A75"/>
    <w:multiLevelType w:val="hybridMultilevel"/>
    <w:tmpl w:val="808A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7754"/>
    <w:multiLevelType w:val="hybridMultilevel"/>
    <w:tmpl w:val="2EC2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518B"/>
    <w:multiLevelType w:val="hybridMultilevel"/>
    <w:tmpl w:val="1018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80"/>
    <w:rsid w:val="00250B16"/>
    <w:rsid w:val="0076665C"/>
    <w:rsid w:val="00833352"/>
    <w:rsid w:val="00872E0F"/>
    <w:rsid w:val="00C65A80"/>
    <w:rsid w:val="00CF20E6"/>
    <w:rsid w:val="00D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3099"/>
  <w15:chartTrackingRefBased/>
  <w15:docId w15:val="{D68FEA74-12D9-4172-BCCA-5CC762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mart.org.uk/" TargetMode="External"/><Relationship Id="rId13" Type="http://schemas.openxmlformats.org/officeDocument/2006/relationships/hyperlink" Target="http://www.beatbully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afeonline.org/" TargetMode="External"/><Relationship Id="rId12" Type="http://schemas.openxmlformats.org/officeDocument/2006/relationships/hyperlink" Target="http://www.internetmatt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uknow.co.uk/" TargetMode="External"/><Relationship Id="rId11" Type="http://schemas.openxmlformats.org/officeDocument/2006/relationships/hyperlink" Target="http://www.chatdange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ullying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mers.ofcom.org.uk/2011/10/advice-for-par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Carlisle</dc:creator>
  <cp:keywords/>
  <dc:description/>
  <cp:lastModifiedBy>Lucy Carlisle</cp:lastModifiedBy>
  <cp:revision>2</cp:revision>
  <dcterms:created xsi:type="dcterms:W3CDTF">2021-09-17T11:56:00Z</dcterms:created>
  <dcterms:modified xsi:type="dcterms:W3CDTF">2021-09-17T11:56:00Z</dcterms:modified>
</cp:coreProperties>
</file>